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0C9" w:rsidRPr="00B90F21" w:rsidRDefault="00BC60C9" w:rsidP="00BC60C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lev"/>
          <w:rFonts w:ascii="inherit" w:hAnsi="inherit"/>
          <w:color w:val="666666"/>
          <w:sz w:val="22"/>
          <w:szCs w:val="20"/>
          <w:bdr w:val="none" w:sz="0" w:space="0" w:color="auto" w:frame="1"/>
        </w:rPr>
      </w:pPr>
      <w:r w:rsidRPr="00B90F21">
        <w:rPr>
          <w:rStyle w:val="lev"/>
          <w:rFonts w:ascii="inherit" w:hAnsi="inherit"/>
          <w:color w:val="666666"/>
          <w:sz w:val="22"/>
          <w:szCs w:val="20"/>
          <w:bdr w:val="none" w:sz="0" w:space="0" w:color="auto" w:frame="1"/>
        </w:rPr>
        <w:t>Lauréat du Prix des Sciences du Médicament vétérinaire 2017</w:t>
      </w:r>
    </w:p>
    <w:p w:rsidR="00BC60C9" w:rsidRDefault="00BC60C9" w:rsidP="00BC60C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666666"/>
          <w:sz w:val="22"/>
          <w:szCs w:val="20"/>
        </w:rPr>
      </w:pPr>
    </w:p>
    <w:p w:rsidR="004C641D" w:rsidRDefault="004C641D" w:rsidP="00BC60C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noProof/>
          <w:color w:val="666666"/>
          <w:sz w:val="22"/>
          <w:szCs w:val="20"/>
        </w:rPr>
      </w:pPr>
    </w:p>
    <w:p w:rsidR="00C72156" w:rsidRPr="00B90F21" w:rsidRDefault="004C641D" w:rsidP="00BC60C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666666"/>
          <w:sz w:val="22"/>
          <w:szCs w:val="20"/>
        </w:rPr>
      </w:pPr>
      <w:r w:rsidRPr="004C641D">
        <w:rPr>
          <w:rFonts w:ascii="Verdana" w:hAnsi="Verdana"/>
          <w:noProof/>
          <w:color w:val="666666"/>
          <w:sz w:val="22"/>
          <w:szCs w:val="20"/>
        </w:rPr>
        <w:drawing>
          <wp:inline distT="0" distB="0" distL="0" distR="0">
            <wp:extent cx="743566" cy="883414"/>
            <wp:effectExtent l="0" t="0" r="0" b="0"/>
            <wp:docPr id="3" name="Image 3" descr="X:\Marie-Claire\LOGOS\SIMV nouveau logo 2017\logo simv rond couleur_Diagnostic_juin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arie-Claire\LOGOS\SIMV nouveau logo 2017\logo simv rond couleur_Diagnostic_juin_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5" cy="89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C9" w:rsidRDefault="00BC60C9" w:rsidP="00BC60C9">
      <w:pPr>
        <w:pStyle w:val="Normal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Verdana" w:hAnsi="Verdana"/>
          <w:color w:val="666666"/>
          <w:sz w:val="20"/>
          <w:szCs w:val="20"/>
        </w:rPr>
      </w:pPr>
    </w:p>
    <w:p w:rsidR="00D90C02" w:rsidRDefault="00D90C02" w:rsidP="00BC60C9">
      <w:pPr>
        <w:pStyle w:val="Normal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Verdana" w:hAnsi="Verdana"/>
          <w:color w:val="666666"/>
          <w:sz w:val="20"/>
          <w:szCs w:val="20"/>
        </w:rPr>
      </w:pPr>
    </w:p>
    <w:p w:rsidR="00BC60C9" w:rsidRDefault="00BC60C9" w:rsidP="00BC60C9">
      <w:pPr>
        <w:pStyle w:val="Normal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Su</w:t>
      </w:r>
      <w:r w:rsidR="00B90F21">
        <w:rPr>
          <w:rFonts w:ascii="Verdana" w:hAnsi="Verdana"/>
          <w:color w:val="666666"/>
          <w:sz w:val="20"/>
          <w:szCs w:val="20"/>
        </w:rPr>
        <w:t>ite</w:t>
      </w:r>
      <w:r>
        <w:rPr>
          <w:rFonts w:ascii="Verdana" w:hAnsi="Verdana"/>
          <w:color w:val="666666"/>
          <w:sz w:val="20"/>
          <w:szCs w:val="20"/>
        </w:rPr>
        <w:t xml:space="preserve"> la délibération du Jury</w:t>
      </w:r>
      <w:r w:rsidR="00B90F21">
        <w:rPr>
          <w:rFonts w:ascii="Verdana" w:hAnsi="Verdana"/>
          <w:color w:val="666666"/>
          <w:sz w:val="20"/>
          <w:szCs w:val="20"/>
        </w:rPr>
        <w:t xml:space="preserve"> le 10</w:t>
      </w:r>
      <w:r w:rsidR="00D90C02">
        <w:rPr>
          <w:rFonts w:ascii="Verdana" w:hAnsi="Verdana"/>
          <w:color w:val="666666"/>
          <w:sz w:val="20"/>
          <w:szCs w:val="20"/>
        </w:rPr>
        <w:t xml:space="preserve"> juillet </w:t>
      </w:r>
      <w:r w:rsidR="00B90F21">
        <w:rPr>
          <w:rFonts w:ascii="Verdana" w:hAnsi="Verdana"/>
          <w:color w:val="666666"/>
          <w:sz w:val="20"/>
          <w:szCs w:val="20"/>
        </w:rPr>
        <w:t>2018</w:t>
      </w:r>
      <w:r>
        <w:rPr>
          <w:rFonts w:ascii="Verdana" w:hAnsi="Verdana"/>
          <w:color w:val="666666"/>
          <w:sz w:val="20"/>
          <w:szCs w:val="20"/>
        </w:rPr>
        <w:t xml:space="preserve">, composé de quatre représentants des écoles vétérinaires (un représentant par école) et quatre membres du SIMV issus cette année des laboratoires Boehringer </w:t>
      </w:r>
      <w:proofErr w:type="spellStart"/>
      <w:r>
        <w:rPr>
          <w:rFonts w:ascii="Verdana" w:hAnsi="Verdana"/>
          <w:color w:val="666666"/>
          <w:sz w:val="20"/>
          <w:szCs w:val="20"/>
        </w:rPr>
        <w:t>Ingelheim</w:t>
      </w:r>
      <w:proofErr w:type="spellEnd"/>
      <w:r>
        <w:rPr>
          <w:rFonts w:ascii="Verdana" w:hAnsi="Verdana"/>
          <w:color w:val="666666"/>
          <w:sz w:val="20"/>
          <w:szCs w:val="20"/>
        </w:rPr>
        <w:t xml:space="preserve">, Ceva Santé Animale, TVM, ainsi qu’un membre du SIMV, la thèse lauréate du </w:t>
      </w:r>
      <w:r w:rsidR="00D90C02">
        <w:rPr>
          <w:rFonts w:ascii="Verdana" w:hAnsi="Verdana"/>
          <w:color w:val="666666"/>
          <w:sz w:val="20"/>
          <w:szCs w:val="20"/>
        </w:rPr>
        <w:t>P</w:t>
      </w:r>
      <w:r>
        <w:rPr>
          <w:rFonts w:ascii="Verdana" w:hAnsi="Verdana"/>
          <w:color w:val="666666"/>
          <w:sz w:val="20"/>
          <w:szCs w:val="20"/>
        </w:rPr>
        <w:t xml:space="preserve">rix des </w:t>
      </w:r>
      <w:r w:rsidR="00D90C02">
        <w:rPr>
          <w:rFonts w:ascii="Verdana" w:hAnsi="Verdana"/>
          <w:color w:val="666666"/>
          <w:sz w:val="20"/>
          <w:szCs w:val="20"/>
        </w:rPr>
        <w:t>S</w:t>
      </w:r>
      <w:r>
        <w:rPr>
          <w:rFonts w:ascii="Verdana" w:hAnsi="Verdana"/>
          <w:color w:val="666666"/>
          <w:sz w:val="20"/>
          <w:szCs w:val="20"/>
        </w:rPr>
        <w:t xml:space="preserve">ciences du </w:t>
      </w:r>
      <w:r w:rsidR="00D90C02">
        <w:rPr>
          <w:rFonts w:ascii="Verdana" w:hAnsi="Verdana"/>
          <w:color w:val="666666"/>
          <w:sz w:val="20"/>
          <w:szCs w:val="20"/>
        </w:rPr>
        <w:t>M</w:t>
      </w:r>
      <w:r>
        <w:rPr>
          <w:rFonts w:ascii="Verdana" w:hAnsi="Verdana"/>
          <w:color w:val="666666"/>
          <w:sz w:val="20"/>
          <w:szCs w:val="20"/>
        </w:rPr>
        <w:t xml:space="preserve">édicament 2017 a été </w:t>
      </w:r>
      <w:r w:rsidR="0046046B">
        <w:rPr>
          <w:rFonts w:ascii="Verdana" w:hAnsi="Verdana"/>
          <w:color w:val="666666"/>
          <w:sz w:val="20"/>
          <w:szCs w:val="20"/>
        </w:rPr>
        <w:t>attribuée</w:t>
      </w:r>
      <w:bookmarkStart w:id="0" w:name="_GoBack"/>
      <w:bookmarkEnd w:id="0"/>
      <w:r>
        <w:rPr>
          <w:rFonts w:ascii="Verdana" w:hAnsi="Verdana"/>
          <w:color w:val="666666"/>
          <w:sz w:val="20"/>
          <w:szCs w:val="20"/>
        </w:rPr>
        <w:t>.</w:t>
      </w:r>
    </w:p>
    <w:p w:rsidR="00BC60C9" w:rsidRDefault="00BC60C9" w:rsidP="00BC60C9">
      <w:pPr>
        <w:pStyle w:val="NormalWeb"/>
        <w:shd w:val="clear" w:color="auto" w:fill="FFFFFF"/>
        <w:spacing w:before="0" w:beforeAutospacing="0" w:after="75" w:afterAutospacing="0"/>
        <w:textAlignment w:val="baseline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 </w:t>
      </w:r>
    </w:p>
    <w:p w:rsidR="00BC60C9" w:rsidRDefault="00BC60C9" w:rsidP="00BC60C9">
      <w:pPr>
        <w:pStyle w:val="NormalWeb"/>
        <w:shd w:val="clear" w:color="auto" w:fill="FFFFFF"/>
        <w:spacing w:before="0" w:beforeAutospacing="0" w:after="75" w:afterAutospacing="0"/>
        <w:textAlignment w:val="baseline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 </w:t>
      </w:r>
    </w:p>
    <w:p w:rsidR="00BC60C9" w:rsidRDefault="00BC60C9" w:rsidP="00B90F21">
      <w:pPr>
        <w:pStyle w:val="Normal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 xml:space="preserve">Nous avons le plaisir de vous annoncer que </w:t>
      </w:r>
      <w:r w:rsidR="00D86DEA">
        <w:rPr>
          <w:rFonts w:ascii="Verdana" w:hAnsi="Verdana"/>
          <w:color w:val="666666"/>
          <w:sz w:val="20"/>
          <w:szCs w:val="20"/>
        </w:rPr>
        <w:t>le</w:t>
      </w:r>
      <w:r>
        <w:rPr>
          <w:rFonts w:ascii="Verdana" w:hAnsi="Verdana"/>
          <w:color w:val="666666"/>
          <w:sz w:val="20"/>
          <w:szCs w:val="20"/>
        </w:rPr>
        <w:t xml:space="preserve"> Lauréat du Prix des Sciences du Médicament vétérinaire 201</w:t>
      </w:r>
      <w:r w:rsidR="00112C99">
        <w:rPr>
          <w:rFonts w:ascii="Verdana" w:hAnsi="Verdana"/>
          <w:color w:val="666666"/>
          <w:sz w:val="20"/>
          <w:szCs w:val="20"/>
        </w:rPr>
        <w:t>7</w:t>
      </w:r>
      <w:r>
        <w:rPr>
          <w:rFonts w:ascii="Verdana" w:hAnsi="Verdana"/>
          <w:color w:val="666666"/>
          <w:sz w:val="20"/>
          <w:szCs w:val="20"/>
        </w:rPr>
        <w:t xml:space="preserve"> est :</w:t>
      </w:r>
    </w:p>
    <w:p w:rsidR="00BC60C9" w:rsidRDefault="00BC60C9" w:rsidP="00BC60C9">
      <w:pPr>
        <w:pStyle w:val="NormalWeb"/>
        <w:shd w:val="clear" w:color="auto" w:fill="FFFFFF"/>
        <w:spacing w:before="0" w:beforeAutospacing="0" w:after="75" w:afterAutospacing="0"/>
        <w:textAlignment w:val="baseline"/>
        <w:rPr>
          <w:rFonts w:ascii="Verdana" w:hAnsi="Verdana"/>
          <w:color w:val="666666"/>
          <w:sz w:val="20"/>
          <w:szCs w:val="20"/>
        </w:rPr>
      </w:pPr>
    </w:p>
    <w:p w:rsidR="00BC60C9" w:rsidRDefault="00BC60C9" w:rsidP="00BC60C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lev"/>
          <w:rFonts w:ascii="Verdana" w:hAnsi="Verdana"/>
          <w:color w:val="666666"/>
          <w:sz w:val="20"/>
          <w:szCs w:val="20"/>
          <w:bdr w:val="none" w:sz="0" w:space="0" w:color="auto" w:frame="1"/>
        </w:rPr>
      </w:pPr>
      <w:r w:rsidRPr="00D86DEA">
        <w:rPr>
          <w:rStyle w:val="lev"/>
          <w:rFonts w:ascii="Verdana" w:hAnsi="Verdana"/>
          <w:color w:val="666666"/>
          <w:sz w:val="20"/>
          <w:szCs w:val="20"/>
          <w:bdr w:val="none" w:sz="0" w:space="0" w:color="auto" w:frame="1"/>
        </w:rPr>
        <w:t>Tristan FABREGUETTES, de l'Ecole Nationale Vétérinaire de Toulouse</w:t>
      </w:r>
    </w:p>
    <w:p w:rsidR="00D86DEA" w:rsidRDefault="00D86DEA" w:rsidP="00BC60C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666666"/>
          <w:sz w:val="20"/>
          <w:szCs w:val="20"/>
        </w:rPr>
      </w:pPr>
    </w:p>
    <w:p w:rsidR="00BE0649" w:rsidRPr="00D86DEA" w:rsidRDefault="00BE0649" w:rsidP="00BC60C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666666"/>
          <w:sz w:val="20"/>
          <w:szCs w:val="20"/>
        </w:rPr>
      </w:pPr>
    </w:p>
    <w:p w:rsidR="00BC60C9" w:rsidRPr="00D86DEA" w:rsidRDefault="00BC60C9" w:rsidP="00BC60C9">
      <w:pPr>
        <w:pStyle w:val="NormalWeb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Verdana" w:hAnsi="Verdana"/>
          <w:color w:val="666666"/>
          <w:sz w:val="20"/>
          <w:szCs w:val="20"/>
        </w:rPr>
      </w:pPr>
      <w:r w:rsidRPr="00D86DEA">
        <w:rPr>
          <w:rFonts w:ascii="Verdana" w:hAnsi="Verdana"/>
          <w:color w:val="666666"/>
          <w:sz w:val="20"/>
          <w:szCs w:val="20"/>
        </w:rPr>
        <w:t> </w:t>
      </w:r>
    </w:p>
    <w:p w:rsidR="00BC60C9" w:rsidRDefault="00BC60C9" w:rsidP="00BC60C9">
      <w:pPr>
        <w:pStyle w:val="NormalWeb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Verdana" w:hAnsi="Verdana"/>
          <w:color w:val="666666"/>
          <w:sz w:val="20"/>
          <w:szCs w:val="20"/>
        </w:rPr>
      </w:pPr>
      <w:r w:rsidRPr="00D86DEA">
        <w:rPr>
          <w:rFonts w:ascii="Verdana" w:hAnsi="Verdana"/>
          <w:color w:val="666666"/>
          <w:sz w:val="20"/>
          <w:szCs w:val="20"/>
        </w:rPr>
        <w:t>L'intitulé de sa thèse :</w:t>
      </w:r>
    </w:p>
    <w:p w:rsidR="00BE0649" w:rsidRPr="00D86DEA" w:rsidRDefault="00BE0649" w:rsidP="00BC60C9">
      <w:pPr>
        <w:pStyle w:val="NormalWeb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Verdana" w:hAnsi="Verdana"/>
          <w:color w:val="666666"/>
          <w:sz w:val="20"/>
          <w:szCs w:val="20"/>
        </w:rPr>
      </w:pPr>
    </w:p>
    <w:p w:rsidR="00BC60C9" w:rsidRPr="00D86DEA" w:rsidRDefault="00BC60C9" w:rsidP="00BC60C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lev"/>
          <w:rFonts w:ascii="Verdana" w:hAnsi="Verdana"/>
          <w:color w:val="666666"/>
          <w:sz w:val="20"/>
          <w:szCs w:val="20"/>
          <w:bdr w:val="none" w:sz="0" w:space="0" w:color="auto" w:frame="1"/>
        </w:rPr>
      </w:pPr>
      <w:r w:rsidRPr="00D86DEA">
        <w:rPr>
          <w:rStyle w:val="lev"/>
          <w:rFonts w:ascii="Verdana" w:hAnsi="Verdana"/>
          <w:color w:val="666666"/>
          <w:sz w:val="20"/>
          <w:szCs w:val="20"/>
          <w:bdr w:val="none" w:sz="0" w:space="0" w:color="auto" w:frame="1"/>
        </w:rPr>
        <w:t>« Pratiques sanitaires et usages d’antibiotiques au sein de différentes filières bovines allaitantes aveyronnaises » </w:t>
      </w:r>
    </w:p>
    <w:p w:rsidR="00BC60C9" w:rsidRDefault="00BC60C9" w:rsidP="00BC60C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666666"/>
          <w:sz w:val="20"/>
          <w:szCs w:val="20"/>
        </w:rPr>
      </w:pPr>
    </w:p>
    <w:p w:rsidR="00B90F21" w:rsidRDefault="00B90F21" w:rsidP="00BC60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20"/>
          <w:highlight w:val="yellow"/>
        </w:rPr>
      </w:pPr>
    </w:p>
    <w:p w:rsidR="00D86DEA" w:rsidRDefault="00D86DEA" w:rsidP="00BC60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20"/>
          <w:highlight w:val="yellow"/>
        </w:rPr>
      </w:pPr>
    </w:p>
    <w:p w:rsidR="00BC60C9" w:rsidRDefault="00BC60C9" w:rsidP="00BC60C9">
      <w:pPr>
        <w:pStyle w:val="Normal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Verdana" w:hAnsi="Verdana"/>
          <w:color w:val="666666"/>
          <w:sz w:val="20"/>
          <w:szCs w:val="20"/>
        </w:rPr>
      </w:pPr>
    </w:p>
    <w:p w:rsidR="000A23A8" w:rsidRDefault="0046046B"/>
    <w:p w:rsidR="00C72156" w:rsidRDefault="00C72156" w:rsidP="00C72156">
      <w:pPr>
        <w:jc w:val="center"/>
      </w:pPr>
      <w:r>
        <w:rPr>
          <w:noProof/>
        </w:rPr>
        <w:drawing>
          <wp:inline distT="0" distB="0" distL="0" distR="0">
            <wp:extent cx="5455920" cy="17830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1D" w:rsidRDefault="004C641D" w:rsidP="00C72156">
      <w:pPr>
        <w:jc w:val="center"/>
      </w:pPr>
    </w:p>
    <w:p w:rsidR="004C641D" w:rsidRDefault="004C641D" w:rsidP="00C72156">
      <w:pPr>
        <w:jc w:val="center"/>
      </w:pPr>
      <w:r w:rsidRPr="004C641D">
        <w:rPr>
          <w:rFonts w:ascii="Verdana" w:eastAsia="Times New Roman" w:hAnsi="Verdana" w:cs="Times New Roman"/>
          <w:color w:val="666666"/>
          <w:sz w:val="20"/>
          <w:szCs w:val="20"/>
          <w:lang w:eastAsia="fr-FR"/>
        </w:rPr>
        <w:t>Plus d’informations sur ce Prix en</w:t>
      </w:r>
      <w:r>
        <w:t xml:space="preserve"> </w:t>
      </w:r>
      <w:hyperlink r:id="rId6" w:history="1">
        <w:r w:rsidRPr="004C641D">
          <w:rPr>
            <w:rStyle w:val="Lienhypertexte"/>
            <w:rFonts w:ascii="Verdana" w:hAnsi="Verdana"/>
            <w:sz w:val="20"/>
            <w:szCs w:val="20"/>
          </w:rPr>
          <w:t>lien</w:t>
        </w:r>
      </w:hyperlink>
      <w:r>
        <w:t>.</w:t>
      </w:r>
    </w:p>
    <w:sectPr w:rsidR="004C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C9"/>
    <w:rsid w:val="00090C3B"/>
    <w:rsid w:val="00112C99"/>
    <w:rsid w:val="0046046B"/>
    <w:rsid w:val="004C641D"/>
    <w:rsid w:val="005B6E46"/>
    <w:rsid w:val="008339F1"/>
    <w:rsid w:val="00883446"/>
    <w:rsid w:val="008D2EAC"/>
    <w:rsid w:val="00AF04EC"/>
    <w:rsid w:val="00B90F21"/>
    <w:rsid w:val="00BC60C9"/>
    <w:rsid w:val="00BC7B70"/>
    <w:rsid w:val="00BE0649"/>
    <w:rsid w:val="00BE1192"/>
    <w:rsid w:val="00C72156"/>
    <w:rsid w:val="00D86DEA"/>
    <w:rsid w:val="00D90C02"/>
    <w:rsid w:val="00F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0A1A"/>
  <w15:chartTrackingRefBased/>
  <w15:docId w15:val="{01A3FCDC-38CC-4A62-81EA-DB94F9C3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60C9"/>
    <w:rPr>
      <w:b/>
      <w:bCs/>
    </w:rPr>
  </w:style>
  <w:style w:type="character" w:styleId="Lienhypertexte">
    <w:name w:val="Hyperlink"/>
    <w:basedOn w:val="Policepardfaut"/>
    <w:uiPriority w:val="99"/>
    <w:unhideWhenUsed/>
    <w:rsid w:val="00BC60C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64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E0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medicamentveterinaire.simv.org/prix-de-th%C3%A8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BRUGEROLLES</dc:creator>
  <cp:keywords/>
  <dc:description/>
  <cp:lastModifiedBy>Accueil</cp:lastModifiedBy>
  <cp:revision>4</cp:revision>
  <dcterms:created xsi:type="dcterms:W3CDTF">2018-07-11T15:28:00Z</dcterms:created>
  <dcterms:modified xsi:type="dcterms:W3CDTF">2018-07-12T07:53:00Z</dcterms:modified>
</cp:coreProperties>
</file>